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E76" w:rsidRDefault="001D6E76" w:rsidP="001D6E76">
      <w:pPr>
        <w:spacing w:line="600" w:lineRule="exact"/>
        <w:rPr>
          <w:rFonts w:ascii="仿宋" w:eastAsia="仿宋" w:hAnsi="仿宋" w:cs="黑体"/>
          <w:sz w:val="32"/>
          <w:szCs w:val="32"/>
        </w:rPr>
      </w:pPr>
      <w:r>
        <w:rPr>
          <w:rFonts w:ascii="仿宋" w:eastAsia="仿宋" w:hAnsi="仿宋" w:cs="黑体" w:hint="eastAsia"/>
          <w:sz w:val="32"/>
          <w:szCs w:val="32"/>
        </w:rPr>
        <w:t>附件</w:t>
      </w:r>
      <w:r>
        <w:rPr>
          <w:rFonts w:ascii="仿宋" w:eastAsia="仿宋" w:hAnsi="仿宋" w:cs="黑体"/>
          <w:sz w:val="32"/>
          <w:szCs w:val="32"/>
        </w:rPr>
        <w:t>3</w:t>
      </w:r>
    </w:p>
    <w:p w:rsidR="001D6E76" w:rsidRDefault="001D6E76" w:rsidP="001D6E76">
      <w:pPr>
        <w:widowControl/>
        <w:spacing w:line="360" w:lineRule="exact"/>
        <w:jc w:val="center"/>
        <w:rPr>
          <w:rFonts w:ascii="黑体" w:eastAsia="黑体" w:hAnsi="黑体"/>
          <w:bCs/>
          <w:sz w:val="36"/>
          <w:szCs w:val="36"/>
          <w:lang w:val="zh-CN"/>
        </w:rPr>
      </w:pPr>
    </w:p>
    <w:p w:rsidR="001D6E76" w:rsidRDefault="001D6E76" w:rsidP="001D6E76">
      <w:pPr>
        <w:widowControl/>
        <w:spacing w:line="360" w:lineRule="exact"/>
        <w:jc w:val="center"/>
        <w:rPr>
          <w:rFonts w:ascii="黑体" w:eastAsia="黑体" w:hAnsi="黑体"/>
          <w:bCs/>
          <w:sz w:val="36"/>
          <w:szCs w:val="36"/>
          <w:lang w:val="zh-CN"/>
        </w:rPr>
      </w:pPr>
    </w:p>
    <w:p w:rsidR="001D6E76" w:rsidRDefault="001D6E76" w:rsidP="001D6E76">
      <w:pPr>
        <w:widowControl/>
        <w:spacing w:line="360" w:lineRule="exact"/>
        <w:jc w:val="center"/>
        <w:rPr>
          <w:rFonts w:ascii="黑体" w:eastAsia="黑体" w:hAnsi="黑体"/>
          <w:bCs/>
          <w:sz w:val="32"/>
          <w:szCs w:val="32"/>
          <w:lang w:val="zh-CN"/>
        </w:rPr>
      </w:pPr>
      <w:r>
        <w:rPr>
          <w:rFonts w:ascii="黑体" w:eastAsia="黑体" w:hAnsi="黑体" w:hint="eastAsia"/>
          <w:bCs/>
          <w:sz w:val="32"/>
          <w:szCs w:val="32"/>
          <w:lang w:val="zh-CN"/>
        </w:rPr>
        <w:t>国家粮食和物资储备局科学研究院</w:t>
      </w:r>
      <w:r>
        <w:rPr>
          <w:rFonts w:ascii="黑体" w:eastAsia="黑体" w:hAnsi="黑体" w:hint="eastAsia"/>
          <w:bCs/>
          <w:sz w:val="32"/>
          <w:szCs w:val="32"/>
        </w:rPr>
        <w:t>部分</w:t>
      </w:r>
      <w:r>
        <w:rPr>
          <w:rFonts w:ascii="黑体" w:eastAsia="黑体" w:hAnsi="黑体" w:hint="eastAsia"/>
          <w:bCs/>
          <w:sz w:val="32"/>
          <w:szCs w:val="32"/>
          <w:lang w:val="zh-CN"/>
        </w:rPr>
        <w:t>科技成果</w:t>
      </w:r>
      <w:r>
        <w:rPr>
          <w:rFonts w:ascii="黑体" w:eastAsia="黑体" w:hAnsi="黑体" w:hint="eastAsia"/>
          <w:bCs/>
          <w:sz w:val="32"/>
          <w:szCs w:val="32"/>
        </w:rPr>
        <w:t>名单</w:t>
      </w:r>
    </w:p>
    <w:p w:rsidR="001D6E76" w:rsidRDefault="001D6E76" w:rsidP="001D6E76">
      <w:pPr>
        <w:widowControl/>
        <w:spacing w:line="360" w:lineRule="exact"/>
        <w:jc w:val="left"/>
        <w:rPr>
          <w:rFonts w:ascii="仿宋" w:eastAsia="仿宋" w:hAnsi="仿宋"/>
          <w:bCs/>
          <w:sz w:val="24"/>
          <w:lang w:val="zh-CN"/>
        </w:rPr>
      </w:pPr>
    </w:p>
    <w:p w:rsidR="001D6E76" w:rsidRDefault="001D6E76" w:rsidP="001D6E76">
      <w:pPr>
        <w:widowControl/>
        <w:spacing w:line="360" w:lineRule="exact"/>
        <w:jc w:val="left"/>
        <w:rPr>
          <w:rFonts w:ascii="黑体" w:eastAsia="黑体" w:hAnsi="黑体"/>
          <w:bCs/>
          <w:sz w:val="24"/>
          <w:lang w:val="zh-CN"/>
        </w:rPr>
      </w:pPr>
      <w:r>
        <w:rPr>
          <w:rFonts w:ascii="黑体" w:eastAsia="黑体" w:hAnsi="黑体" w:hint="eastAsia"/>
          <w:bCs/>
          <w:sz w:val="24"/>
          <w:lang w:val="zh-CN"/>
        </w:rPr>
        <w:t>一、粮食储运</w:t>
      </w:r>
      <w:r>
        <w:rPr>
          <w:rFonts w:ascii="黑体" w:eastAsia="黑体" w:hAnsi="黑体"/>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1 食品级惰性粉防治储粮害虫技术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2 谷物智能化精准通风控制系统</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3 一种储粮防护剂微喷机</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4 粮情云图动态分析软件系统</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5 储粮益螨治虫技术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6 粮堆多场耦合技术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7 膜分离氮气循环气调绿色储粮技术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8 节能环保绿色粮食干燥技术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9 储粮真菌自动检测仪</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11 粮食储备“四合一”新技术研究开发与集成创新</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12 粮油质量安全扦样信息管理系统</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13 平房仓绿色储粮横向通风成套新技术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14 应急储备大米储藏技术规程</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15 旋转通风干燥储存仓</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16 气膜钢筋混凝土球形仓绿色储粮成套技术与设施</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17 空气源热泵粮食干燥技术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18 规模化粮食干燥节能环保智能型煤粉炉技术与装备</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19 智能通风系统</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20 大米储藏保质期及缓苏关键技术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21 储备油脂数量快速检测技术研究与装备开发</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22 基于云技术的储粮虫螨数据库及远程专家咨询决策系统研发</w:t>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23 基于红外光检测的探管式储粮害虫在线监测装置基于红外光检测的探管式储粮害虫在线监测装置</w:t>
      </w:r>
    </w:p>
    <w:p w:rsidR="001D6E76" w:rsidRDefault="001D6E76" w:rsidP="001D6E76">
      <w:pPr>
        <w:widowControl/>
        <w:spacing w:line="360" w:lineRule="exact"/>
        <w:jc w:val="left"/>
        <w:rPr>
          <w:rFonts w:ascii="黑体" w:eastAsia="黑体" w:hAnsi="黑体"/>
          <w:bCs/>
          <w:sz w:val="24"/>
          <w:lang w:val="zh-CN"/>
        </w:rPr>
      </w:pPr>
      <w:r>
        <w:rPr>
          <w:rFonts w:ascii="黑体" w:eastAsia="黑体" w:hAnsi="黑体" w:hint="eastAsia"/>
          <w:bCs/>
          <w:sz w:val="24"/>
          <w:lang w:val="zh-CN"/>
        </w:rPr>
        <w:t>二、质量安全</w:t>
      </w:r>
      <w:r>
        <w:rPr>
          <w:rFonts w:ascii="黑体" w:eastAsia="黑体" w:hAnsi="黑体"/>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24 食品饲料原料采购风险控制技术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25 真菌毒素和重金属粮食基体系列国家标准物质</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26 真菌毒素降解酶制剂在植物油及其相关制品中的应用</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27 粮食中镉等重金属快速分析和工艺脱除技术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28 储粮生物危害检测预警技术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29 粮堆温湿水检测技术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30 粮堆气密性检测技术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31 超低功耗无线粮情系统</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lastRenderedPageBreak/>
        <w:t>32 省级军粮综合信息管理平台</w:t>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33 军粮企业信息化系统</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34中国好粮油产品质量追溯系统</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35 真菌毒素污染玉米的安全合理利用技术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36 非产毒黄曲霉菌株筛选及其在花生种植中的应用</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37 呕吐毒素和玉米赤霉烯酮标准样品</w:t>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38 高效生物杀虫剂-多杀菌素的研发及应用</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39 饲用抗生素替代技术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hint="eastAsia"/>
          <w:bCs/>
          <w:sz w:val="24"/>
          <w:lang w:val="zh-CN"/>
        </w:rPr>
        <w:t>40</w:t>
      </w:r>
      <w:r>
        <w:rPr>
          <w:rFonts w:ascii="仿宋" w:eastAsia="仿宋" w:hAnsi="仿宋"/>
          <w:bCs/>
          <w:sz w:val="24"/>
          <w:lang w:val="zh-CN"/>
        </w:rPr>
        <w:t>粮食及其制品真菌毒素前处理净化系统</w:t>
      </w:r>
      <w:r>
        <w:rPr>
          <w:rFonts w:ascii="仿宋" w:eastAsia="仿宋" w:hAnsi="仿宋"/>
          <w:bCs/>
          <w:sz w:val="24"/>
          <w:lang w:val="zh-CN"/>
        </w:rPr>
        <w:tab/>
      </w:r>
    </w:p>
    <w:p w:rsidR="001D6E76" w:rsidRDefault="001D6E76" w:rsidP="001D6E76">
      <w:pPr>
        <w:widowControl/>
        <w:spacing w:line="360" w:lineRule="exact"/>
        <w:jc w:val="left"/>
        <w:rPr>
          <w:rFonts w:ascii="黑体" w:eastAsia="黑体" w:hAnsi="黑体"/>
          <w:bCs/>
          <w:sz w:val="24"/>
          <w:lang w:val="zh-CN"/>
        </w:rPr>
      </w:pPr>
      <w:r>
        <w:rPr>
          <w:rFonts w:ascii="黑体" w:eastAsia="黑体" w:hAnsi="黑体" w:hint="eastAsia"/>
          <w:bCs/>
          <w:sz w:val="24"/>
          <w:lang w:val="zh-CN"/>
        </w:rPr>
        <w:t>三、品质营养</w:t>
      </w:r>
      <w:r>
        <w:rPr>
          <w:rFonts w:ascii="黑体" w:eastAsia="黑体" w:hAnsi="黑体"/>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41 大米适度加工与品质评价体系应用</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42发酵饲料开发利用关键技术及应用</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43 乳酸菌制剂研发与应用</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44 营养花色馒头生产技术研发</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45 真菌毒素污染小麦安全合理利用技术(不是品质营养部分的成果)</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46 粮油营养健康数据库及指导手册</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47 大米外观检测系统</w:t>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48 小米品质评价及其食品开发</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49 小麦酶解蛋白生产技术</w:t>
      </w:r>
      <w:r>
        <w:rPr>
          <w:rFonts w:ascii="仿宋" w:eastAsia="仿宋" w:hAnsi="仿宋"/>
          <w:bCs/>
          <w:sz w:val="24"/>
          <w:lang w:val="zh-CN"/>
        </w:rPr>
        <w:tab/>
      </w:r>
    </w:p>
    <w:p w:rsidR="001D6E76" w:rsidRDefault="001D6E76" w:rsidP="001D6E76">
      <w:pPr>
        <w:widowControl/>
        <w:spacing w:line="360" w:lineRule="exact"/>
        <w:jc w:val="left"/>
        <w:rPr>
          <w:rFonts w:ascii="黑体" w:eastAsia="黑体" w:hAnsi="黑体"/>
          <w:bCs/>
          <w:sz w:val="24"/>
          <w:lang w:val="zh-CN"/>
        </w:rPr>
      </w:pPr>
      <w:r>
        <w:rPr>
          <w:rFonts w:ascii="黑体" w:eastAsia="黑体" w:hAnsi="黑体" w:hint="eastAsia"/>
          <w:bCs/>
          <w:sz w:val="24"/>
          <w:lang w:val="zh-CN"/>
        </w:rPr>
        <w:t>四、粮油加工</w:t>
      </w:r>
      <w:r>
        <w:rPr>
          <w:rFonts w:ascii="黑体" w:eastAsia="黑体" w:hAnsi="黑体"/>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50 高杂粮豆含量营养健康挂面加工技术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51 酒糟蛋白（DDGS）中真菌毒素“三合一”规模化消减技术</w:t>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52 稳定化全麦粉及全麦挂面加工技术与产业化</w:t>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53 糙米米线加工技术及其产业化</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54 黄曲霉素生防技术及应用</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55 真菌毒素污染小麦的安全合理利用技术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56 植物油及其相关制品中真菌毒素生物酶法脱除技术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57 油料水酶法制油技术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58 酶法制备磷脂酰丝氨酸</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59 多杀菌素的发酵生产技术及应用</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60 全谷物方便主食品加工技术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61 茶叶籽和澳洲坚果产业及制品高值化精深加工关键技术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62 稻米粉食应用加工技术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63 全谷物方便食品加工及丙烯酰胺危害物控制技术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64 全谷物方便速食粥加工技术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65 稳定化同熟化糙米、杂粮豆加工技术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66 萌芽谷豆系列产品创制加工新技术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67 小麦及玉米淀粉加工副产物高效转化牛羊饲料技术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lastRenderedPageBreak/>
        <w:t>68 小麦酶解蛋白中试生产技术</w:t>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69 植物基高水分组织蛋白素肉加工技术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70 植物油及其制品中真菌毒素生物酶法脱除技术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71 油料及加工用途数据库</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72 油脂加工新技术——水酶法制油技术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73 发酵饲料产业化开发利用关键技术及应用</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74 植物油液位密度分层测量一体装置</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75 米糠综合开发利用技术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76 中长链脂肪酸结构酯制备技术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77 大宗蛋白质饲料资源开发</w:t>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78 新型发酵酶解饲料资源开发和利用技术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79 新型高效饲用微生态制剂应用技术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80 小麦品质资源及加工用途数据库</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81 酶催化茶油改性制备中长碳链脂肪酸结构酯</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82 小麦资源增值转化加工技术</w:t>
      </w:r>
      <w:r>
        <w:rPr>
          <w:rFonts w:ascii="仿宋" w:eastAsia="仿宋" w:hAnsi="仿宋"/>
          <w:bCs/>
          <w:sz w:val="24"/>
          <w:lang w:val="zh-CN"/>
        </w:rPr>
        <w:tab/>
      </w:r>
    </w:p>
    <w:p w:rsidR="001D6E76" w:rsidRDefault="001D6E76" w:rsidP="001D6E76">
      <w:pPr>
        <w:widowControl/>
        <w:spacing w:line="360" w:lineRule="exact"/>
        <w:jc w:val="left"/>
        <w:rPr>
          <w:rFonts w:ascii="黑体" w:eastAsia="黑体" w:hAnsi="黑体"/>
          <w:bCs/>
          <w:sz w:val="24"/>
          <w:lang w:val="zh-CN"/>
        </w:rPr>
      </w:pPr>
      <w:r>
        <w:rPr>
          <w:rFonts w:ascii="黑体" w:eastAsia="黑体" w:hAnsi="黑体" w:hint="eastAsia"/>
          <w:bCs/>
          <w:sz w:val="24"/>
          <w:lang w:val="zh-CN"/>
        </w:rPr>
        <w:t>五、产业经济</w:t>
      </w:r>
      <w:r>
        <w:rPr>
          <w:rFonts w:ascii="黑体" w:eastAsia="黑体" w:hAnsi="黑体"/>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83 粮食安全战略</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84 粮食产业规划咨询</w:t>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85 粮食市场分析与预测</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86 中国好粮油行动</w:t>
      </w:r>
      <w:r>
        <w:rPr>
          <w:rFonts w:ascii="仿宋" w:eastAsia="仿宋" w:hAnsi="仿宋"/>
          <w:bCs/>
          <w:sz w:val="24"/>
          <w:lang w:val="zh-CN"/>
        </w:rPr>
        <w:tab/>
      </w:r>
    </w:p>
    <w:p w:rsidR="001D6E76" w:rsidRDefault="001D6E76" w:rsidP="001D6E76">
      <w:pPr>
        <w:widowControl/>
        <w:spacing w:line="360" w:lineRule="exact"/>
        <w:jc w:val="left"/>
        <w:rPr>
          <w:rFonts w:ascii="黑体" w:eastAsia="黑体" w:hAnsi="黑体"/>
          <w:bCs/>
          <w:sz w:val="24"/>
          <w:lang w:val="zh-CN"/>
        </w:rPr>
      </w:pPr>
      <w:r>
        <w:rPr>
          <w:rFonts w:ascii="黑体" w:eastAsia="黑体" w:hAnsi="黑体" w:hint="eastAsia"/>
          <w:bCs/>
          <w:sz w:val="24"/>
          <w:lang w:val="zh-CN"/>
        </w:rPr>
        <w:t>六、仪器设备</w:t>
      </w:r>
      <w:r>
        <w:rPr>
          <w:rFonts w:ascii="黑体" w:eastAsia="黑体" w:hAnsi="黑体"/>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87 谷物冷却机</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88 成套小麦烘焙和蒸煮品质实验设备</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89 大米加工精度检测仪</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90 大米食味计</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91 大米外观品质检测仪</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92 稻谷出米率检测仪</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93 稻谷新鲜度测定仪</w:t>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94 吹泡示功仪</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95 电子式粉质仪</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96面团拉伸仪</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97 面筋数量和质量指数检测系统</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98 粮食品质物性测试仪</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99真菌毒素全自动净化仪</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100 HG—001 便携式储粮生物危害检测仪</w:t>
      </w:r>
      <w:r>
        <w:rPr>
          <w:rFonts w:ascii="仿宋" w:eastAsia="仿宋" w:hAnsi="仿宋"/>
          <w:bCs/>
          <w:sz w:val="24"/>
          <w:lang w:val="zh-CN"/>
        </w:rPr>
        <w:tab/>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101 小型真菌毒素荧光快速检测仪</w:t>
      </w:r>
    </w:p>
    <w:p w:rsidR="001D6E76" w:rsidRDefault="001D6E76" w:rsidP="001D6E76">
      <w:pPr>
        <w:widowControl/>
        <w:spacing w:line="360" w:lineRule="exact"/>
        <w:jc w:val="left"/>
        <w:rPr>
          <w:rFonts w:ascii="仿宋" w:eastAsia="仿宋" w:hAnsi="仿宋"/>
          <w:bCs/>
          <w:sz w:val="24"/>
          <w:lang w:val="zh-CN"/>
        </w:rPr>
      </w:pPr>
      <w:r>
        <w:rPr>
          <w:rFonts w:ascii="仿宋" w:eastAsia="仿宋" w:hAnsi="仿宋"/>
          <w:bCs/>
          <w:sz w:val="24"/>
          <w:lang w:val="zh-CN"/>
        </w:rPr>
        <w:t>102 真菌毒素全自动净化仪</w:t>
      </w:r>
      <w:r>
        <w:rPr>
          <w:rFonts w:ascii="仿宋" w:eastAsia="仿宋" w:hAnsi="仿宋"/>
          <w:bCs/>
          <w:sz w:val="24"/>
          <w:lang w:val="zh-CN"/>
        </w:rPr>
        <w:tab/>
      </w:r>
    </w:p>
    <w:p w:rsidR="00E460C1" w:rsidRDefault="00E460C1">
      <w:bookmarkStart w:id="0" w:name="_GoBack"/>
      <w:bookmarkEnd w:id="0"/>
    </w:p>
    <w:sectPr w:rsidR="00E460C1">
      <w:pgSz w:w="11906" w:h="16838"/>
      <w:pgMar w:top="1440" w:right="1474" w:bottom="1440" w:left="147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5E4" w:rsidRDefault="000125E4" w:rsidP="001D6E76">
      <w:r>
        <w:separator/>
      </w:r>
    </w:p>
  </w:endnote>
  <w:endnote w:type="continuationSeparator" w:id="0">
    <w:p w:rsidR="000125E4" w:rsidRDefault="000125E4" w:rsidP="001D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5E4" w:rsidRDefault="000125E4" w:rsidP="001D6E76">
      <w:r>
        <w:separator/>
      </w:r>
    </w:p>
  </w:footnote>
  <w:footnote w:type="continuationSeparator" w:id="0">
    <w:p w:rsidR="000125E4" w:rsidRDefault="000125E4" w:rsidP="001D6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A2"/>
    <w:rsid w:val="000125E4"/>
    <w:rsid w:val="001D6E76"/>
    <w:rsid w:val="004E1DAB"/>
    <w:rsid w:val="00E460C1"/>
    <w:rsid w:val="00FA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605F0C-1B91-462F-8A73-EFC4AD2C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E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E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D6E76"/>
    <w:rPr>
      <w:sz w:val="18"/>
      <w:szCs w:val="18"/>
    </w:rPr>
  </w:style>
  <w:style w:type="paragraph" w:styleId="a5">
    <w:name w:val="footer"/>
    <w:basedOn w:val="a"/>
    <w:link w:val="a6"/>
    <w:uiPriority w:val="99"/>
    <w:unhideWhenUsed/>
    <w:rsid w:val="001D6E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D6E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于梦洋</dc:creator>
  <cp:keywords/>
  <dc:description/>
  <cp:lastModifiedBy>于梦洋</cp:lastModifiedBy>
  <cp:revision>2</cp:revision>
  <dcterms:created xsi:type="dcterms:W3CDTF">2020-08-03T08:39:00Z</dcterms:created>
  <dcterms:modified xsi:type="dcterms:W3CDTF">2020-08-03T08:39:00Z</dcterms:modified>
</cp:coreProperties>
</file>